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37" w:rsidRPr="009D3637" w:rsidRDefault="009D3637" w:rsidP="009D363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9D3637">
        <w:rPr>
          <w:rFonts w:ascii="Times New Roman" w:eastAsia="Times New Roman" w:hAnsi="Times New Roman" w:cs="Times New Roman"/>
          <w:b/>
          <w:bCs/>
          <w:sz w:val="36"/>
          <w:szCs w:val="36"/>
          <w:u w:val="single"/>
        </w:rPr>
        <w:t>ARCHITECTURAL SERVICES WANTED</w:t>
      </w:r>
    </w:p>
    <w:p w:rsidR="009D3637" w:rsidRPr="009D3637" w:rsidRDefault="009D3637" w:rsidP="009D3637">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9D3637" w:rsidRPr="009D3637" w:rsidTr="009D3637">
        <w:trPr>
          <w:tblCellSpacing w:w="15" w:type="dxa"/>
          <w:jc w:val="center"/>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 xml:space="preserve">Applications for Architectural Services for the following projects will be accepted until </w:t>
            </w:r>
            <w:r w:rsidRPr="009D3637">
              <w:rPr>
                <w:rFonts w:ascii="Times New Roman" w:eastAsia="Times New Roman" w:hAnsi="Times New Roman" w:cs="Times New Roman"/>
                <w:b/>
                <w:bCs/>
                <w:sz w:val="21"/>
                <w:szCs w:val="21"/>
              </w:rPr>
              <w:t xml:space="preserve">2:00 p.m., </w:t>
            </w:r>
            <w:r w:rsidRPr="009D3637">
              <w:rPr>
                <w:rFonts w:ascii="Times New Roman" w:eastAsia="Times New Roman" w:hAnsi="Times New Roman" w:cs="Times New Roman"/>
                <w:b/>
                <w:bCs/>
                <w:sz w:val="21"/>
                <w:szCs w:val="21"/>
                <w:u w:val="single"/>
              </w:rPr>
              <w:t>Thursday, June 11, 2015</w:t>
            </w:r>
            <w:r w:rsidRPr="009D3637">
              <w:rPr>
                <w:rFonts w:ascii="Times New Roman" w:eastAsia="Times New Roman" w:hAnsi="Times New Roman" w:cs="Times New Roman"/>
                <w:b/>
                <w:bCs/>
                <w:sz w:val="21"/>
                <w:szCs w:val="21"/>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3F61A0">
                <w:rPr>
                  <w:rFonts w:ascii="Times New Roman" w:eastAsia="Times New Roman" w:hAnsi="Times New Roman" w:cs="Times New Roman"/>
                  <w:b/>
                  <w:bCs/>
                  <w:color w:val="0000FF"/>
                  <w:sz w:val="21"/>
                  <w:szCs w:val="21"/>
                  <w:u w:val="single"/>
                </w:rPr>
                <w:t>www.doa.louisiana.gov/fpc/fpc.htm</w:t>
              </w:r>
            </w:hyperlink>
            <w:r w:rsidRPr="009D3637">
              <w:rPr>
                <w:rFonts w:ascii="Times New Roman" w:eastAsia="Times New Roman" w:hAnsi="Times New Roman" w:cs="Times New Roman"/>
                <w:b/>
                <w:bCs/>
                <w:sz w:val="21"/>
                <w:szCs w:val="21"/>
              </w:rPr>
              <w:t xml:space="preserve">. Do not attach any additional pages to this application. </w:t>
            </w:r>
            <w:r w:rsidRPr="009D3637">
              <w:rPr>
                <w:rFonts w:ascii="Times New Roman" w:eastAsia="Times New Roman" w:hAnsi="Times New Roman" w:cs="Times New Roman"/>
                <w:b/>
                <w:bCs/>
                <w:sz w:val="21"/>
                <w:szCs w:val="21"/>
                <w:u w:val="single"/>
              </w:rPr>
              <w:t>Applications with attachments in addition to the pre-numbered sheets or otherwise not following this format will be discarded.</w:t>
            </w:r>
            <w:r w:rsidRPr="009D3637">
              <w:rPr>
                <w:rFonts w:ascii="Times New Roman" w:eastAsia="Times New Roman" w:hAnsi="Times New Roman" w:cs="Times New Roman"/>
                <w:b/>
                <w:bCs/>
                <w:sz w:val="21"/>
                <w:szCs w:val="21"/>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1. Fieldhouse Planning and Construction, Nicholls State University, Thibodaux, Louisiana, Project No. 19-621-14-01, Part 01.</w:t>
            </w:r>
            <w:r w:rsidRPr="009D3637">
              <w:rPr>
                <w:rFonts w:ascii="Times New Roman" w:eastAsia="Times New Roman" w:hAnsi="Times New Roman" w:cs="Times New Roman"/>
                <w:sz w:val="21"/>
                <w:szCs w:val="21"/>
              </w:rPr>
              <w:br/>
              <w:t xml:space="preserve">This project consists of a new 5,378 sf field house located next to the baseball stadium. The new field house will provide adequate facilities for a Division I baseball program. It will be a one story metal building with brick veneer, metal stud and sheetrock walls. The building will include offices for coaching staff, team locker rooms with showers, a meeting room, </w:t>
            </w:r>
            <w:proofErr w:type="gramStart"/>
            <w:r w:rsidRPr="009D3637">
              <w:rPr>
                <w:rFonts w:ascii="Times New Roman" w:eastAsia="Times New Roman" w:hAnsi="Times New Roman" w:cs="Times New Roman"/>
                <w:sz w:val="21"/>
                <w:szCs w:val="21"/>
              </w:rPr>
              <w:t>a</w:t>
            </w:r>
            <w:proofErr w:type="gramEnd"/>
            <w:r w:rsidRPr="009D3637">
              <w:rPr>
                <w:rFonts w:ascii="Times New Roman" w:eastAsia="Times New Roman" w:hAnsi="Times New Roman" w:cs="Times New Roman"/>
                <w:sz w:val="21"/>
                <w:szCs w:val="21"/>
              </w:rPr>
              <w:t xml:space="preserve"> training room, a room for game officials, a laundry/equipment room, and storage space. Installation of fencing at the entry location, construction of a ticket booth, site work, and landscaping are included, and utility tie-ins will be required. The Percent for Art program will apply to this project and the designer will cooperate with the selected artist to incorporate the artwork into the design of the building. The Percent for Universal Design will apply to this project, requiring the designer to identify and develop features that utilize universal design principles and incorporate them into the project. The cost of these features will be at least 2% of the estimated construction cost. Energy sustainability requirements as outlined in section 06 of Instructions to Designers must be incorporated into the design. The designer shall prepare and submit all required drawings to Facility Planning and Control in AutoCAD and electronic PDF. Drawings shall follow the format specified in the "Instructions to Designers for AutoCAD Drawings Submittal". The funds available for construction are approximately </w:t>
            </w:r>
            <w:r w:rsidRPr="009D3637">
              <w:rPr>
                <w:rFonts w:ascii="Times New Roman" w:eastAsia="Times New Roman" w:hAnsi="Times New Roman" w:cs="Times New Roman"/>
                <w:b/>
                <w:bCs/>
                <w:sz w:val="21"/>
                <w:szCs w:val="21"/>
              </w:rPr>
              <w:t>$2,490,000.00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$211,763.00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270</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75</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$800.00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Gus Cretini - Claiborne Building, P.O. Box 94095, Baton Rouge, Louisiana 70804-9095 (225) 219-0049.</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2. Phase III Renovations to Building 13 Post Headquarters, Gillis W. Long, Carville, Louisiana, Project No. GWL-06, Part 00.</w:t>
            </w:r>
            <w:r w:rsidRPr="009D3637">
              <w:rPr>
                <w:rFonts w:ascii="Times New Roman" w:eastAsia="Times New Roman" w:hAnsi="Times New Roman" w:cs="Times New Roman"/>
                <w:sz w:val="21"/>
                <w:szCs w:val="21"/>
              </w:rPr>
              <w:br/>
              <w:t xml:space="preserve">This project consists of Phase III Renovations to Building 13 at Gillis W. Long Post Headquarters. The renovations to Building 13 at Gillis W. Long will provide needed upgrades to the Post Headquarters building. The renovations will occur within areas on the first and second floors that were not previously renovated. Building 13 is a two story, masonry building constructed in the 1800s. The approximate square footage for the area to be renovated is 11,330 sf. Selective demolition on the first and second floors of the building will be required and there may be asbestos present. The project will consist of offices, training spaces, a multi-purpose room, and six (6) billeting rooms. New walls and lay-in ceiling to match previous renovation are included. Existing flooring in good condition will be refinished and new matching wood floor added where required. Wood base and crown molding adhering to historical character of the building will be incorporated. Some existing windows show signs of water damage and will be repaired. There are also some minor roof leaks that will be addressed. Also included are upgrades to mechanical, electrical, and plumbing systems. There is a renovation factor included to cover the cost of the topographic and geotechnical survey, if required. The Military will initially contract for Title I Services (design services through bidding or approximately 65% of the fee). After satisfactory completion and acceptance of the work and services furnished, the Military, at its option, may amend this contract to include Title II Services (construction contract administration or 35% of the fee). Documents will be submitted in hard copy and electronically, AutoCAD 2012 or later, PDF and MS format. The funds available for construction are approximately </w:t>
            </w:r>
            <w:r w:rsidRPr="009D3637">
              <w:rPr>
                <w:rFonts w:ascii="Times New Roman" w:eastAsia="Times New Roman" w:hAnsi="Times New Roman" w:cs="Times New Roman"/>
                <w:b/>
                <w:bCs/>
                <w:sz w:val="21"/>
                <w:szCs w:val="21"/>
              </w:rPr>
              <w:t>$888,000.00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$58,531.00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114</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14</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CSM Troy Barron - 5445 Point Clair Road, Building 10, Carville, Louisiana 70721 (225) 319-4689.</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3. Renovations to Building 1451, Camp Beauregard, Pineville, Louisiana, Project No. 222015022003, Part 00.</w:t>
            </w:r>
            <w:r w:rsidRPr="009D3637">
              <w:rPr>
                <w:rFonts w:ascii="Times New Roman" w:eastAsia="Times New Roman" w:hAnsi="Times New Roman" w:cs="Times New Roman"/>
                <w:sz w:val="21"/>
                <w:szCs w:val="21"/>
              </w:rPr>
              <w:br/>
              <w:t xml:space="preserve">This project consists of renovations to Building 1451 at Camp Beauregard. Building 1451, constructed in 1978, is single </w:t>
            </w:r>
            <w:r w:rsidRPr="009D3637">
              <w:rPr>
                <w:rFonts w:ascii="Times New Roman" w:eastAsia="Times New Roman" w:hAnsi="Times New Roman" w:cs="Times New Roman"/>
                <w:sz w:val="21"/>
                <w:szCs w:val="21"/>
              </w:rPr>
              <w:lastRenderedPageBreak/>
              <w:t xml:space="preserve">story, masonry construction with a built up roof. It is approximately 10,172 sf. The project will provide needed square footage to support the Post functions. The building will consist of offices, classrooms, male and female restrooms, and other support spaces as required. New mechanical and electrical systems will be provided including a new HVAC system. Doors and associated hardware will be replaced. The roof will need repairs or replacement. The building currently has utility connections, but these may need to be upgraded for code and/or capacity. The Military will initially contract for Title I Services (design services through bidding or approximately 65% of the fee). After satisfactory completion and acceptance of the work and services furnished, the Military, at its option, may amend this contract to include Title II Services (construction contract administration or 35% of the fee). Documents will be submitted in hard copy and electronically, AutoCAD 2012 or later, PDF and MS format. The funds available for construction are approximately </w:t>
            </w:r>
            <w:r w:rsidRPr="009D3637">
              <w:rPr>
                <w:rFonts w:ascii="Times New Roman" w:eastAsia="Times New Roman" w:hAnsi="Times New Roman" w:cs="Times New Roman"/>
                <w:b/>
                <w:bCs/>
                <w:sz w:val="21"/>
                <w:szCs w:val="21"/>
              </w:rPr>
              <w:t>$800,000.00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$53,183.00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114</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14</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MSG Joseph Cole - Camp Beauregard, Building 718 E Street, Pineville, Louisiana 71360 (318) 290-5431.</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4. New Unaccompanied Officers' Quarters (UOQ), Camp Beauregard, Pineville, Louisiana, Project No. 222015022002, Part 00.</w:t>
            </w:r>
            <w:r w:rsidRPr="009D3637">
              <w:rPr>
                <w:rFonts w:ascii="Times New Roman" w:eastAsia="Times New Roman" w:hAnsi="Times New Roman" w:cs="Times New Roman"/>
                <w:sz w:val="21"/>
                <w:szCs w:val="21"/>
              </w:rPr>
              <w:br/>
              <w:t xml:space="preserve">This project consists of construction of an Unaccompanied Officers' Quarters (UOQ) at Camp Beauregard. The building will be a single story structure. A twenty year roof and manufacturer's warranty is required. The new UOQ will be approximately 6,000 sf and will consist of 15-20 rooms with private baths. Each room will have its own entrance and separate HVAC system. The building will be set up like commercial lodging. The building will use natural gas water heaters/system; this system will be an on demand type. A parking lot will be provided to support this building. Also included will be a central mechanical, electrical and information technology room. The new building will comply with all applicable codes and standards. The Military will initially contract for Title I Services (design services through bidding or approximately 65% of the fee). After satisfactory completion and acceptance of the work and services furnished, the Military, at its option, may amend this contract to include Title II Services (construction contract administration or 35% of the fee). Documents will be submitted in hard copy and electronically, AutoCAD 2012 or later, PDF and MS format. The funds available for construction are approximately </w:t>
            </w:r>
            <w:r w:rsidRPr="009D3637">
              <w:rPr>
                <w:rFonts w:ascii="Times New Roman" w:eastAsia="Times New Roman" w:hAnsi="Times New Roman" w:cs="Times New Roman"/>
                <w:b/>
                <w:bCs/>
                <w:sz w:val="21"/>
                <w:szCs w:val="21"/>
              </w:rPr>
              <w:t>$750,000.00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$45,568.00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114</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14</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MSG Joseph Cole - Camp Beauregard, Building 718 E Street, Pineville, Louisiana 71360 (318) 290-5431.</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5. Expansion of Field Maintenance Shop (FMS) #8, Baton Rouge, Louisiana, Project No. 22201505128, Part 00.</w:t>
            </w:r>
            <w:r w:rsidRPr="009D3637">
              <w:rPr>
                <w:rFonts w:ascii="Times New Roman" w:eastAsia="Times New Roman" w:hAnsi="Times New Roman" w:cs="Times New Roman"/>
                <w:sz w:val="21"/>
                <w:szCs w:val="21"/>
              </w:rPr>
              <w:br/>
              <w:t xml:space="preserve">This project consists of renovating and expanding the quantity of work bays in the current Field Maintenance Shop (FMS) #8 in Baton Rouge, Louisiana, located at the Armed Forces Reserve Center at 8130 Innovation Parkway. This facility was originally designed with six bays in 2008 and was reduced to four bays in 2009. The two additional bays will be approximately 2,500 sf each. Designer is expected to follow design submission from 2011 which will be provided. Designer will follow National Guard Bureau standards and guidelines. New construction will match exterior elevations. The two additional bays will consist of masonry construction with a sloped, standing seam metal roof, concrete floors, and energy efficient electrical and mechanical equipment with emergency power generator to support additional bays only. Support facilities will include parking with access roads, security fencing, site lighting, sidewalks, flammable materials storage building, and controlled waste facility. Extension of utilities will be coordinated by the designer. This renovation project will be compliant with applicable State and Federal design and construction regulations. The Military will initially contract for Title I Services (design services through bidding or approximately 65% of the fee). After satisfactory completion and acceptance of the work and services furnished, the Military, at its option, may amend this contract to include Title II Services (construction contract administration or 35% of the fee). Documents will be submitted in hard copy and electronically, AutoCAD 2012 or later, PDF and MS format. The funds available for construction are approximately </w:t>
            </w:r>
            <w:r w:rsidRPr="009D3637">
              <w:rPr>
                <w:rFonts w:ascii="Times New Roman" w:eastAsia="Times New Roman" w:hAnsi="Times New Roman" w:cs="Times New Roman"/>
                <w:b/>
                <w:bCs/>
                <w:sz w:val="21"/>
                <w:szCs w:val="21"/>
              </w:rPr>
              <w:t>$750,000.00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$50,124.00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114</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14</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CPT Jeremy Futrell - Armed Forces Reserve Center, 8130 Innovation Parkway, Baton Rouge, Louisiana 70820 (318) 290-5385.</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6. Renovate Headquarters/Education Center and Bunkhouse Addition at Buckhorn WMA, St. Joseph, Louisiana, Project No. 16-513-14-07, Part 01.</w:t>
            </w:r>
            <w:r w:rsidRPr="009D3637">
              <w:rPr>
                <w:rFonts w:ascii="Times New Roman" w:eastAsia="Times New Roman" w:hAnsi="Times New Roman" w:cs="Times New Roman"/>
                <w:sz w:val="21"/>
                <w:szCs w:val="21"/>
              </w:rPr>
              <w:br/>
              <w:t xml:space="preserve">This project consists of the renovation/conversion of an existing 1,475 sf office building/bunkhouse into an education center. The renovations will entail providing office space, a large open classroom, and ADA accessible restrooms. Deteriorated building components are to be replaced and finishes will be upgraded to match the new bunkhouse. The existing roof will be replaced with a new metal roof set to the same elevation as the bunkhouse roof. This project also consists of the construction of a new 2,380 sf bunkhouse which will be connected to the education center via a covered walkway. The new bunkhouse will be concrete slab on grade, exterior walls to include a brick wainscot wraparound, and a metal roof. Under roof spaces will consist of four bunkrooms, two bathrooms, an interior kitchen/utility space, and an outdoor kitchen. The bunkhouse is to be completed prior to starting the conversion of the existing office building/bunkhouse to an education center. The designer </w:t>
            </w:r>
            <w:r w:rsidRPr="009D3637">
              <w:rPr>
                <w:rFonts w:ascii="Times New Roman" w:eastAsia="Times New Roman" w:hAnsi="Times New Roman" w:cs="Times New Roman"/>
                <w:sz w:val="21"/>
                <w:szCs w:val="21"/>
              </w:rPr>
              <w:lastRenderedPageBreak/>
              <w:t xml:space="preserve">shall prepare and submit all required drawings to Facility Planning and Control in AutoCAD and electronic PDF. Drawings shall follow the format specified in the "Instructions to Designers for AutoCAD Drawings Submittal". The funds available for construction are approximately </w:t>
            </w:r>
            <w:r w:rsidRPr="009D3637">
              <w:rPr>
                <w:rFonts w:ascii="Times New Roman" w:eastAsia="Times New Roman" w:hAnsi="Times New Roman" w:cs="Times New Roman"/>
                <w:b/>
                <w:bCs/>
                <w:sz w:val="21"/>
                <w:szCs w:val="21"/>
              </w:rPr>
              <w:t>$460,800.00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$47,121.00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180</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60</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Regis Bergeron - Claiborne Building, P.O. Box 94095, Baton Rouge, Louisiana 70804-9095 (225) 342-4251.</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7. Hurricane Repairs Office Building and General Headquarters, Rockefeller Wildlife Refuge, Grand Chenier, Louisiana, Project No. 01-107-05B-13, Part HY.</w:t>
            </w:r>
            <w:r w:rsidRPr="009D3637">
              <w:rPr>
                <w:rFonts w:ascii="Times New Roman" w:eastAsia="Times New Roman" w:hAnsi="Times New Roman" w:cs="Times New Roman"/>
                <w:sz w:val="21"/>
                <w:szCs w:val="21"/>
              </w:rPr>
              <w:br/>
              <w:t xml:space="preserve">This project consists of repairing Hurricane Rita damage to the exterior of the Office Building and General Headquarters at Rockefeller Wildlife Refuge, Cameron Parish, Louisiana. The buildings are Circa 1960 elevated structures on wood piling, wood frame construction with painted wood siding and trim, and metal roof. In general, the scope calls for replacement of exterior stairs and their enclosures, new finished wood “boxing enclosures" around piling, new wall siding, soffits, trim, gutters, downspouts and louvered accessories. Selected windows and doors will be replaced. The exterior will be repainted and any damaged roof areas will be repaired to match existing. Exterior MEP work will include replacement of thru-wall HVAC units in stairwells and all damaged insulated metal ductwork; replacement of damaged electrical service and distribution panels, wiring and fixtures; replacement or repair of damaged plumbing systems and exterior fixtures. The Designer will be provided with “as-built” drawings and FEMA project worksheets for use in preparing refined scope of work and verification of existing conditions as part of the included Designer services for which the design fee has been increased. Funding for this project is provided in part by FEMA and their participation and oversight is to be expected in all phases and at all levels of activity for the project. The Designer shall prepare and submit all required drawings to Facility Planning and Control in AutoCAD and electronic PDF. Drawings shall follow the format specified in the "Instructions to Designers for AutoCAD Drawings Submittal". The funds available for construction are approximately </w:t>
            </w:r>
            <w:r w:rsidRPr="009D3637">
              <w:rPr>
                <w:rFonts w:ascii="Times New Roman" w:eastAsia="Times New Roman" w:hAnsi="Times New Roman" w:cs="Times New Roman"/>
                <w:b/>
                <w:bCs/>
                <w:sz w:val="21"/>
                <w:szCs w:val="21"/>
              </w:rPr>
              <w:t>$419,500.00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$47,366.00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180</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60</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$75.00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Creighton Stout - Claiborne Building, P.O. Box 94095, Baton Rouge, Louisiana 70804-9095 (225) 342-3378.</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8. Replace Residences for Area Supervisors of North and South Richard K. Yancey Wildlife Management Areas, Concordia Parish, Louisiana, Project No. 16-513-14-13, Part 01.</w:t>
            </w:r>
            <w:r w:rsidRPr="009D3637">
              <w:rPr>
                <w:rFonts w:ascii="Times New Roman" w:eastAsia="Times New Roman" w:hAnsi="Times New Roman" w:cs="Times New Roman"/>
                <w:sz w:val="21"/>
                <w:szCs w:val="21"/>
              </w:rPr>
              <w:br/>
              <w:t xml:space="preserve">This project consists of construction of two (2) residences of repetitive design at two individual sites approximately 1500 feet apart, but within the same Wildlife Management Area. Each residence will be 3BR/2BA of approximately 2000 sf under roof including attached two car carport, connecting breezeway, and main residence entry porches. Major spaces include: Master BR/bath suite, 2BR's sharing complete bath with compartmentalized toilet, a Family Living/Entertainment area, Kitchen/ breakfast, pantry storage, and Mud Room/Utility area near the rear entry. The plan should maximize available space for interior closets and general storage/utility closets. A preliminary Program will be provided to describe spatial needs in further detail and generally describe the character of desired finishes. Central HVAC, individual sewer treatment plants, and site utility connections are part of this project. Site development will be limited to access drives and minimal landscaping. The Designer will provide a single design submittal for a residence from Schematic Design submittal through Bid Documents. Bid Documents will require construction of both residences under a single construction contract. Full C/A services through acceptance will be required for both individual residences. The Design Fee has been modified to reflect the use of the same plan for two separate buildings resulting in 80% of a full fee calculation. The Designer shall prepare and submit all required drawings to Facility Planning and Control in AutoCAD and electronic PDF. Drawings shall follow the format specified in the "Instructions to Designers for AutoCAD Drawings Submittal". The funds available for construction are approximately </w:t>
            </w:r>
            <w:r w:rsidRPr="009D3637">
              <w:rPr>
                <w:rFonts w:ascii="Times New Roman" w:eastAsia="Times New Roman" w:hAnsi="Times New Roman" w:cs="Times New Roman"/>
                <w:b/>
                <w:bCs/>
                <w:sz w:val="21"/>
                <w:szCs w:val="21"/>
              </w:rPr>
              <w:t>$401,280.00</w:t>
            </w:r>
            <w:r w:rsidRPr="009D3637">
              <w:rPr>
                <w:rFonts w:ascii="Times New Roman" w:eastAsia="Times New Roman" w:hAnsi="Times New Roman" w:cs="Times New Roman"/>
                <w:sz w:val="21"/>
                <w:szCs w:val="21"/>
              </w:rPr>
              <w:t xml:space="preserve"> with a fee of approximately </w:t>
            </w:r>
            <w:r w:rsidRPr="009D3637">
              <w:rPr>
                <w:rFonts w:ascii="Times New Roman" w:eastAsia="Times New Roman" w:hAnsi="Times New Roman" w:cs="Times New Roman"/>
                <w:b/>
                <w:bCs/>
                <w:sz w:val="21"/>
                <w:szCs w:val="21"/>
              </w:rPr>
              <w:t>$31,641.00</w:t>
            </w:r>
            <w:r w:rsidRPr="009D3637">
              <w:rPr>
                <w:rFonts w:ascii="Times New Roman" w:eastAsia="Times New Roman" w:hAnsi="Times New Roman" w:cs="Times New Roman"/>
                <w:sz w:val="21"/>
                <w:szCs w:val="21"/>
              </w:rPr>
              <w:t xml:space="preserve">. Contract design time is </w:t>
            </w:r>
            <w:r w:rsidRPr="009D3637">
              <w:rPr>
                <w:rFonts w:ascii="Times New Roman" w:eastAsia="Times New Roman" w:hAnsi="Times New Roman" w:cs="Times New Roman"/>
                <w:b/>
                <w:bCs/>
                <w:sz w:val="21"/>
                <w:szCs w:val="21"/>
              </w:rPr>
              <w:t>120</w:t>
            </w:r>
            <w:r w:rsidRPr="009D3637">
              <w:rPr>
                <w:rFonts w:ascii="Times New Roman" w:eastAsia="Times New Roman" w:hAnsi="Times New Roman" w:cs="Times New Roman"/>
                <w:sz w:val="21"/>
                <w:szCs w:val="21"/>
              </w:rPr>
              <w:t xml:space="preserve"> consecutive calendar days; including </w:t>
            </w:r>
            <w:r w:rsidRPr="009D3637">
              <w:rPr>
                <w:rFonts w:ascii="Times New Roman" w:eastAsia="Times New Roman" w:hAnsi="Times New Roman" w:cs="Times New Roman"/>
                <w:b/>
                <w:bCs/>
                <w:sz w:val="21"/>
                <w:szCs w:val="21"/>
              </w:rPr>
              <w:t>45</w:t>
            </w:r>
            <w:r w:rsidRPr="009D3637">
              <w:rPr>
                <w:rFonts w:ascii="Times New Roman" w:eastAsia="Times New Roman" w:hAnsi="Times New Roman" w:cs="Times New Roman"/>
                <w:sz w:val="21"/>
                <w:szCs w:val="21"/>
              </w:rPr>
              <w:t xml:space="preserve"> days review time. Thereafter, liquidated damages in the amount of </w:t>
            </w:r>
            <w:r w:rsidRPr="009D3637">
              <w:rPr>
                <w:rFonts w:ascii="Times New Roman" w:eastAsia="Times New Roman" w:hAnsi="Times New Roman" w:cs="Times New Roman"/>
                <w:b/>
                <w:bCs/>
                <w:sz w:val="21"/>
                <w:szCs w:val="21"/>
              </w:rPr>
              <w:t>$100.00</w:t>
            </w:r>
            <w:r w:rsidRPr="009D3637">
              <w:rPr>
                <w:rFonts w:ascii="Times New Roman" w:eastAsia="Times New Roman" w:hAnsi="Times New Roman" w:cs="Times New Roman"/>
                <w:sz w:val="21"/>
                <w:szCs w:val="21"/>
              </w:rPr>
              <w:t xml:space="preserve"> per day will be assessed. Further information is available from </w:t>
            </w:r>
            <w:r w:rsidRPr="009D3637">
              <w:rPr>
                <w:rFonts w:ascii="Times New Roman" w:eastAsia="Times New Roman" w:hAnsi="Times New Roman" w:cs="Times New Roman"/>
                <w:b/>
                <w:bCs/>
                <w:sz w:val="21"/>
                <w:szCs w:val="21"/>
              </w:rPr>
              <w:t>Regis Bergeron - Claiborne Building, P.O. Box 94095, Baton Rouge, Louisiana 70804-9095 (225) 342-4251.</w:t>
            </w:r>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b/>
                <w:bCs/>
                <w:sz w:val="21"/>
                <w:szCs w:val="21"/>
              </w:rPr>
              <w:t>GENERAL REQUIREMENTS APPLICABLE TO ALL PROJECTS</w:t>
            </w:r>
            <w:proofErr w:type="gramStart"/>
            <w:r w:rsidRPr="009D3637">
              <w:rPr>
                <w:rFonts w:ascii="Times New Roman" w:eastAsia="Times New Roman" w:hAnsi="Times New Roman" w:cs="Times New Roman"/>
                <w:b/>
                <w:bCs/>
                <w:sz w:val="21"/>
                <w:szCs w:val="21"/>
              </w:rPr>
              <w:t>:</w:t>
            </w:r>
            <w:proofErr w:type="gramEnd"/>
            <w:r w:rsidRPr="009D3637">
              <w:rPr>
                <w:rFonts w:ascii="Times New Roman" w:eastAsia="Times New Roman" w:hAnsi="Times New Roman" w:cs="Times New Roman"/>
                <w:sz w:val="21"/>
                <w:szCs w:val="21"/>
              </w:rPr>
              <w:br/>
              <w:t xml:space="preserve">Applicants are advised that design time ends when the Documents are "complete, coordinated and </w:t>
            </w:r>
            <w:r w:rsidRPr="009D3637">
              <w:rPr>
                <w:rFonts w:ascii="Times New Roman" w:eastAsia="Times New Roman" w:hAnsi="Times New Roman" w:cs="Times New Roman"/>
                <w:b/>
                <w:bCs/>
                <w:sz w:val="21"/>
                <w:szCs w:val="21"/>
              </w:rPr>
              <w:t>ready for bid</w:t>
            </w:r>
            <w:r w:rsidRPr="009D3637">
              <w:rPr>
                <w:rFonts w:ascii="Times New Roman" w:eastAsia="Times New Roman" w:hAnsi="Times New Roman" w:cs="Times New Roman"/>
                <w:sz w:val="21"/>
                <w:szCs w:val="21"/>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9D3637">
              <w:rPr>
                <w:rFonts w:ascii="Times New Roman" w:eastAsia="Times New Roman" w:hAnsi="Times New Roman" w:cs="Times New Roman"/>
                <w:sz w:val="21"/>
                <w:szCs w:val="21"/>
              </w:rPr>
              <w:br/>
            </w:r>
            <w:r w:rsidRPr="003F61A0">
              <w:rPr>
                <w:rFonts w:ascii="Times New Roman" w:eastAsia="Times New Roman" w:hAnsi="Times New Roman" w:cs="Times New Roman"/>
                <w:b/>
                <w:bCs/>
                <w:sz w:val="21"/>
                <w:szCs w:val="21"/>
              </w:rPr>
              <w:lastRenderedPageBreak/>
              <w:t>SCHEDULE</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gridCol w:w="614"/>
              <w:gridCol w:w="1557"/>
            </w:tblGrid>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u w:val="single"/>
                    </w:rPr>
                    <w:t>Construction Cost</w:t>
                  </w:r>
                </w:p>
              </w:tc>
              <w:tc>
                <w:tcPr>
                  <w:tcW w:w="650" w:type="pct"/>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u w:val="single"/>
                    </w:rPr>
                    <w:t>Limit of Liability</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$0 to $1,000,000</w:t>
                  </w: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$500,000</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$1,000,000 to $10,000,000</w:t>
                  </w: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$1,000,000</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$10,000,000 to $20,000,000</w:t>
                  </w: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$1,500,000</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$20,000,000 to $50,000,000</w:t>
                  </w: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$3,000,000</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Over $50,000,000</w:t>
                  </w: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t>To be determined</w:t>
                  </w:r>
                </w:p>
              </w:tc>
            </w:tr>
          </w:tbl>
          <w:p w:rsidR="009D3637" w:rsidRPr="009D3637" w:rsidRDefault="009D3637" w:rsidP="009D3637">
            <w:pPr>
              <w:spacing w:after="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THE SMALL ENTREPRENEURSHIP PROGRAM: Applicants may be qualified to participate in the Small Entrepreneurship Program (The Hudson Initiative) and are encouraged to consider participation. Information is available on the </w:t>
            </w:r>
            <w:hyperlink r:id="rId5" w:tgtFrame="_blank" w:history="1">
              <w:r w:rsidRPr="003F61A0">
                <w:rPr>
                  <w:rFonts w:ascii="Times New Roman" w:eastAsia="Times New Roman" w:hAnsi="Times New Roman" w:cs="Times New Roman"/>
                  <w:color w:val="0000FF"/>
                  <w:sz w:val="21"/>
                  <w:szCs w:val="21"/>
                  <w:u w:val="single"/>
                </w:rPr>
                <w:t>Facility Planning &amp; Control website.</w:t>
              </w:r>
            </w:hyperlink>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6" w:tgtFrame="_blank" w:history="1">
              <w:r w:rsidRPr="003F61A0">
                <w:rPr>
                  <w:rFonts w:ascii="Times New Roman" w:eastAsia="Times New Roman" w:hAnsi="Times New Roman" w:cs="Times New Roman"/>
                  <w:color w:val="0000FF"/>
                  <w:sz w:val="21"/>
                  <w:szCs w:val="21"/>
                  <w:u w:val="single"/>
                </w:rPr>
                <w:t>www.doa.louisiana.gov/fpc/fpc.htm</w:t>
              </w:r>
            </w:hyperlink>
            <w:r w:rsidRPr="009D3637">
              <w:rPr>
                <w:rFonts w:ascii="Times New Roman" w:eastAsia="Times New Roman" w:hAnsi="Times New Roman" w:cs="Times New Roman"/>
                <w:sz w:val="21"/>
                <w:szCs w:val="21"/>
              </w:rPr>
              <w:t xml:space="preserve">.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ANY PERSON REQUIRING SPECIAL ACCOMMODATIONS SHALL NOTIFY FACILITY PLANNING AND CONTROL OF THE TYPE(S) OF ACCOMMODATION REQUIRED NOT LESS THAT SEVEN (7) DAYS BEFORE THE SELECTION BOARD MEETING.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Applications shall be delivered or mailed to : </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Applications shall be delivered or mailed or emailed to : </w:t>
            </w:r>
            <w:r w:rsidRPr="009D3637">
              <w:rPr>
                <w:rFonts w:ascii="Times New Roman" w:eastAsia="Times New Roman" w:hAnsi="Times New Roman" w:cs="Times New Roman"/>
                <w:sz w:val="21"/>
                <w:szCs w:val="21"/>
              </w:rPr>
              <w:br/>
            </w:r>
            <w:r w:rsidRPr="003F61A0">
              <w:rPr>
                <w:rFonts w:ascii="Times New Roman" w:eastAsia="Times New Roman" w:hAnsi="Times New Roman" w:cs="Times New Roman"/>
                <w:b/>
                <w:bCs/>
                <w:sz w:val="21"/>
                <w:szCs w:val="21"/>
              </w:rPr>
              <w:t xml:space="preserve">LOUISIANA ARCHITECTS SELECTION BOARD </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c/o FACILITY PLANNING AND CONTROL</w:t>
            </w:r>
            <w:r w:rsidRPr="009D3637">
              <w:rPr>
                <w:rFonts w:ascii="Times New Roman" w:eastAsia="Times New Roman" w:hAnsi="Times New Roman" w:cs="Times New Roman"/>
                <w:sz w:val="21"/>
                <w:szCs w:val="2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2791"/>
            </w:tblGrid>
            <w:tr w:rsidR="009D3637" w:rsidRPr="009D3637">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tblGrid>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3F61A0">
                          <w:rPr>
                            <w:rFonts w:ascii="Times New Roman" w:eastAsia="Times New Roman" w:hAnsi="Times New Roman" w:cs="Times New Roman"/>
                            <w:b/>
                            <w:bCs/>
                            <w:sz w:val="21"/>
                            <w:szCs w:val="21"/>
                          </w:rPr>
                          <w:t>Deliver:</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1201 North Third Street</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Claiborne Office Building</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Seventh Floor, Suite 7-160</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Baton Rouge, LA 70802</w:t>
                        </w:r>
                      </w:p>
                    </w:tc>
                  </w:tr>
                </w:tbl>
                <w:p w:rsidR="009D3637" w:rsidRPr="009D3637" w:rsidRDefault="009D3637" w:rsidP="009D3637">
                  <w:pPr>
                    <w:spacing w:after="0" w:line="240" w:lineRule="auto"/>
                    <w:rPr>
                      <w:rFonts w:ascii="Times New Roman" w:eastAsia="Times New Roman" w:hAnsi="Times New Roman" w:cs="Times New Roman"/>
                      <w:sz w:val="21"/>
                      <w:szCs w:val="21"/>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6"/>
                  </w:tblGrid>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3F61A0">
                          <w:rPr>
                            <w:rFonts w:ascii="Times New Roman" w:eastAsia="Times New Roman" w:hAnsi="Times New Roman" w:cs="Times New Roman"/>
                            <w:b/>
                            <w:bCs/>
                            <w:sz w:val="21"/>
                            <w:szCs w:val="21"/>
                          </w:rPr>
                          <w:t>Mail:</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Post Office Box 94095</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Baton Rouge, LA 70804-9095</w:t>
                        </w:r>
                      </w:p>
                    </w:tc>
                  </w:tr>
                  <w:tr w:rsidR="009D3637" w:rsidRPr="009D3637">
                    <w:trPr>
                      <w:tblCellSpacing w:w="15" w:type="dxa"/>
                    </w:trPr>
                    <w:tc>
                      <w:tcPr>
                        <w:tcW w:w="0" w:type="auto"/>
                        <w:vAlign w:val="center"/>
                        <w:hideMark/>
                      </w:tcPr>
                      <w:p w:rsidR="009D3637" w:rsidRPr="009D3637" w:rsidRDefault="009D3637" w:rsidP="009D3637">
                        <w:pPr>
                          <w:spacing w:after="0" w:line="240" w:lineRule="auto"/>
                          <w:rPr>
                            <w:rFonts w:ascii="Times New Roman" w:eastAsia="Times New Roman" w:hAnsi="Times New Roman" w:cs="Times New Roman"/>
                            <w:sz w:val="21"/>
                            <w:szCs w:val="21"/>
                          </w:rPr>
                        </w:pPr>
                        <w:r w:rsidRPr="003F61A0">
                          <w:rPr>
                            <w:rFonts w:ascii="Times New Roman" w:eastAsia="Times New Roman" w:hAnsi="Times New Roman" w:cs="Times New Roman"/>
                            <w:b/>
                            <w:bCs/>
                            <w:sz w:val="21"/>
                            <w:szCs w:val="21"/>
                          </w:rPr>
                          <w:t>E-Mail:</w:t>
                        </w:r>
                        <w:r w:rsidRPr="009D3637">
                          <w:rPr>
                            <w:rFonts w:ascii="Times New Roman" w:eastAsia="Times New Roman" w:hAnsi="Times New Roman" w:cs="Times New Roman"/>
                            <w:b/>
                            <w:bCs/>
                            <w:sz w:val="21"/>
                            <w:szCs w:val="21"/>
                          </w:rPr>
                          <w:br/>
                        </w:r>
                        <w:r w:rsidRPr="003F61A0">
                          <w:rPr>
                            <w:rFonts w:ascii="Times New Roman" w:eastAsia="Times New Roman" w:hAnsi="Times New Roman" w:cs="Times New Roman"/>
                            <w:b/>
                            <w:bCs/>
                            <w:sz w:val="21"/>
                            <w:szCs w:val="21"/>
                          </w:rPr>
                          <w:t>selection.board@la.gov</w:t>
                        </w:r>
                      </w:p>
                    </w:tc>
                  </w:tr>
                </w:tbl>
                <w:p w:rsidR="009D3637" w:rsidRPr="009D3637" w:rsidRDefault="009D3637" w:rsidP="009D3637">
                  <w:pPr>
                    <w:spacing w:after="0" w:line="240" w:lineRule="auto"/>
                    <w:rPr>
                      <w:rFonts w:ascii="Times New Roman" w:eastAsia="Times New Roman" w:hAnsi="Times New Roman" w:cs="Times New Roman"/>
                      <w:sz w:val="21"/>
                      <w:szCs w:val="21"/>
                    </w:rPr>
                  </w:pPr>
                </w:p>
              </w:tc>
            </w:tr>
          </w:tbl>
          <w:p w:rsidR="009D3637" w:rsidRPr="009D3637" w:rsidRDefault="009D3637" w:rsidP="009D3637">
            <w:pPr>
              <w:spacing w:after="240" w:line="240" w:lineRule="auto"/>
              <w:rPr>
                <w:rFonts w:ascii="Times New Roman" w:eastAsia="Times New Roman" w:hAnsi="Times New Roman" w:cs="Times New Roman"/>
                <w:sz w:val="21"/>
                <w:szCs w:val="21"/>
              </w:rPr>
            </w:pPr>
            <w:r w:rsidRPr="009D3637">
              <w:rPr>
                <w:rFonts w:ascii="Times New Roman" w:eastAsia="Times New Roman" w:hAnsi="Times New Roman" w:cs="Times New Roman"/>
                <w:sz w:val="21"/>
                <w:szCs w:val="21"/>
              </w:rPr>
              <w:br/>
            </w:r>
            <w:r w:rsidRPr="003F61A0">
              <w:rPr>
                <w:rFonts w:ascii="Times New Roman" w:eastAsia="Times New Roman" w:hAnsi="Times New Roman" w:cs="Times New Roman"/>
                <w:b/>
                <w:bCs/>
                <w:sz w:val="21"/>
                <w:szCs w:val="21"/>
              </w:rPr>
              <w:t>Use this e-mail address for applications only. Do not send any other communications to this address.</w:t>
            </w:r>
            <w:r w:rsidRPr="009D3637">
              <w:rPr>
                <w:rFonts w:ascii="Times New Roman" w:eastAsia="Times New Roman" w:hAnsi="Times New Roman" w:cs="Times New Roman"/>
                <w:sz w:val="21"/>
                <w:szCs w:val="21"/>
              </w:rPr>
              <w:br/>
            </w:r>
            <w:r w:rsidRPr="009D3637">
              <w:rPr>
                <w:rFonts w:ascii="Times New Roman" w:eastAsia="Times New Roman" w:hAnsi="Times New Roman" w:cs="Times New Roman"/>
                <w:sz w:val="21"/>
                <w:szCs w:val="21"/>
              </w:rPr>
              <w:br/>
              <w:t xml:space="preserve">The tentative meeting date for the Louisiana Architectural Selection Board is </w:t>
            </w:r>
            <w:r w:rsidRPr="009D3637">
              <w:rPr>
                <w:rFonts w:ascii="Times New Roman" w:eastAsia="Times New Roman" w:hAnsi="Times New Roman" w:cs="Times New Roman"/>
                <w:b/>
                <w:bCs/>
                <w:sz w:val="21"/>
                <w:szCs w:val="21"/>
              </w:rPr>
              <w:t>Thursday, June 25, 2015 at 10:00 AM at Claiborne Building, 1201 N. Third Street, Room 1-136C, Baton Rouge, Louisiana 70802.</w:t>
            </w:r>
            <w:r w:rsidRPr="009D3637">
              <w:rPr>
                <w:rFonts w:ascii="Times New Roman" w:eastAsia="Times New Roman" w:hAnsi="Times New Roman" w:cs="Times New Roman"/>
                <w:sz w:val="21"/>
                <w:szCs w:val="21"/>
              </w:rPr>
              <w:t xml:space="preserve"> </w:t>
            </w:r>
          </w:p>
        </w:tc>
      </w:tr>
    </w:tbl>
    <w:p w:rsidR="00345E5C" w:rsidRPr="009D3637" w:rsidRDefault="00345E5C" w:rsidP="009D3637"/>
    <w:sectPr w:rsidR="00345E5C" w:rsidRPr="009D3637" w:rsidSect="009D363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37"/>
    <w:rsid w:val="00345E5C"/>
    <w:rsid w:val="003F61A0"/>
    <w:rsid w:val="004A305D"/>
    <w:rsid w:val="008A7B10"/>
    <w:rsid w:val="009D3637"/>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120F-0656-4729-832E-11CE8B6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3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6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3637"/>
    <w:rPr>
      <w:color w:val="0000FF"/>
      <w:u w:val="single"/>
    </w:rPr>
  </w:style>
  <w:style w:type="character" w:styleId="Strong">
    <w:name w:val="Strong"/>
    <w:basedOn w:val="DefaultParagraphFont"/>
    <w:uiPriority w:val="22"/>
    <w:qFormat/>
    <w:rsid w:val="009D3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4936">
      <w:bodyDiv w:val="1"/>
      <w:marLeft w:val="0"/>
      <w:marRight w:val="0"/>
      <w:marTop w:val="0"/>
      <w:marBottom w:val="0"/>
      <w:divBdr>
        <w:top w:val="none" w:sz="0" w:space="0" w:color="auto"/>
        <w:left w:val="none" w:sz="0" w:space="0" w:color="auto"/>
        <w:bottom w:val="none" w:sz="0" w:space="0" w:color="auto"/>
        <w:right w:val="none" w:sz="0" w:space="0" w:color="auto"/>
      </w:divBdr>
    </w:div>
    <w:div w:id="16891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a.louisiana.gov/fpc/fpc.htm" TargetMode="External"/><Relationship Id="rId5" Type="http://schemas.openxmlformats.org/officeDocument/2006/relationships/hyperlink" Target="http://www.doa.louisiana.gov/fpc/fpc.htm" TargetMode="External"/><Relationship Id="rId4" Type="http://schemas.openxmlformats.org/officeDocument/2006/relationships/hyperlink" Target="http://wwwprd.doa.louisiana.gov/fpc/board/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77AD748C.dotm</Template>
  <TotalTime>8</TotalTime>
  <Pages>4</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2015-05-22T14:07:00Z</dcterms:created>
  <dcterms:modified xsi:type="dcterms:W3CDTF">2015-05-22T14:15:00Z</dcterms:modified>
</cp:coreProperties>
</file>